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3963" w:rsidRPr="005A3963" w:rsidRDefault="005A3963" w:rsidP="005A3963">
      <w:pPr>
        <w:spacing w:after="120" w:line="360" w:lineRule="auto"/>
        <w:rPr>
          <w:b/>
          <w:sz w:val="28"/>
          <w:szCs w:val="28"/>
        </w:rPr>
      </w:pPr>
      <w:bookmarkStart w:id="0" w:name="_GoBack"/>
      <w:bookmarkEnd w:id="0"/>
      <w:r w:rsidRPr="005A3963">
        <w:rPr>
          <w:b/>
          <w:sz w:val="28"/>
          <w:szCs w:val="28"/>
        </w:rPr>
        <w:t>Krakau zum Kennenlernen und Erleben</w:t>
      </w:r>
    </w:p>
    <w:p w:rsidR="005A3963" w:rsidRPr="005A3963" w:rsidRDefault="005A3963" w:rsidP="005A3963">
      <w:pPr>
        <w:spacing w:after="120" w:line="360" w:lineRule="auto"/>
        <w:rPr>
          <w:b/>
          <w:sz w:val="24"/>
          <w:szCs w:val="24"/>
        </w:rPr>
      </w:pPr>
      <w:r w:rsidRPr="005A3963">
        <w:rPr>
          <w:b/>
          <w:sz w:val="24"/>
          <w:szCs w:val="24"/>
        </w:rPr>
        <w:t>Allianz Global Assistance lud Premium Partner zu exklusivem City -Trip nach Krakau ein</w:t>
      </w:r>
    </w:p>
    <w:p w:rsidR="005A3963" w:rsidRPr="005A3963" w:rsidRDefault="005A59A4" w:rsidP="005A3963">
      <w:pPr>
        <w:spacing w:after="120" w:line="360" w:lineRule="auto"/>
        <w:rPr>
          <w:sz w:val="24"/>
          <w:szCs w:val="24"/>
        </w:rPr>
      </w:pPr>
      <w:r>
        <w:rPr>
          <w:sz w:val="24"/>
          <w:szCs w:val="24"/>
        </w:rPr>
        <w:t>München, 14</w:t>
      </w:r>
      <w:r w:rsidR="005A3963">
        <w:rPr>
          <w:sz w:val="24"/>
          <w:szCs w:val="24"/>
        </w:rPr>
        <w:t xml:space="preserve">.03.2018. </w:t>
      </w:r>
      <w:r w:rsidR="008E3398">
        <w:rPr>
          <w:sz w:val="24"/>
          <w:szCs w:val="24"/>
        </w:rPr>
        <w:t xml:space="preserve">Vom 22.02. bis </w:t>
      </w:r>
      <w:r w:rsidR="005A3963" w:rsidRPr="005A3963">
        <w:rPr>
          <w:sz w:val="24"/>
          <w:szCs w:val="24"/>
        </w:rPr>
        <w:t>25.02.</w:t>
      </w:r>
      <w:r w:rsidR="00534B4A">
        <w:rPr>
          <w:sz w:val="24"/>
          <w:szCs w:val="24"/>
        </w:rPr>
        <w:t>20</w:t>
      </w:r>
      <w:r w:rsidR="005A3963" w:rsidRPr="005A3963">
        <w:rPr>
          <w:sz w:val="24"/>
          <w:szCs w:val="24"/>
        </w:rPr>
        <w:t xml:space="preserve">18 erkundeten 14 Premium Partner auf Einladung von Allianz Global Assistance Krakau. In Kooperation mit Studiosus verbrachten die Expedienten trotz hochwinterlicher Wetterbedingungen fröhliche, interessante und erlebnisreiche Tage in der polnischen Metropole. Eine exklusive „Hop on Hop off“-Stadtrundfahrt verschaffte einen ersten Überblick, der beim Bummel durch die Altstadt (UNESCO-Welterbe) vertieft wurde. Unter dem Motto „von königlich bis jüdisch“ wurden der </w:t>
      </w:r>
      <w:proofErr w:type="spellStart"/>
      <w:r w:rsidR="005A3963" w:rsidRPr="005A3963">
        <w:rPr>
          <w:sz w:val="24"/>
          <w:szCs w:val="24"/>
        </w:rPr>
        <w:t>Wawel</w:t>
      </w:r>
      <w:proofErr w:type="spellEnd"/>
      <w:r w:rsidR="005A3963" w:rsidRPr="005A3963">
        <w:rPr>
          <w:sz w:val="24"/>
          <w:szCs w:val="24"/>
        </w:rPr>
        <w:t xml:space="preserve"> Hügel mit Kathedrale und Palast sowie das jüdische Viertel </w:t>
      </w:r>
      <w:proofErr w:type="spellStart"/>
      <w:r w:rsidR="005A3963" w:rsidRPr="005A3963">
        <w:rPr>
          <w:sz w:val="24"/>
          <w:szCs w:val="24"/>
        </w:rPr>
        <w:t>Kazimierez</w:t>
      </w:r>
      <w:proofErr w:type="spellEnd"/>
      <w:r w:rsidR="005A3963" w:rsidRPr="005A3963">
        <w:rPr>
          <w:sz w:val="24"/>
          <w:szCs w:val="24"/>
        </w:rPr>
        <w:t xml:space="preserve"> (Drehort für Schindlers Liste) erkundet. Per Trabbi und zu Fuß bekamen die Teilnehmer in der Trabantenstadt </w:t>
      </w:r>
      <w:proofErr w:type="spellStart"/>
      <w:r w:rsidR="005A3963" w:rsidRPr="005A3963">
        <w:rPr>
          <w:sz w:val="24"/>
          <w:szCs w:val="24"/>
        </w:rPr>
        <w:t>Nowa</w:t>
      </w:r>
      <w:proofErr w:type="spellEnd"/>
      <w:r w:rsidR="005A3963" w:rsidRPr="005A3963">
        <w:rPr>
          <w:sz w:val="24"/>
          <w:szCs w:val="24"/>
        </w:rPr>
        <w:t xml:space="preserve"> </w:t>
      </w:r>
      <w:proofErr w:type="spellStart"/>
      <w:r w:rsidR="005A3963" w:rsidRPr="005A3963">
        <w:rPr>
          <w:sz w:val="24"/>
          <w:szCs w:val="24"/>
        </w:rPr>
        <w:t>Huta</w:t>
      </w:r>
      <w:proofErr w:type="spellEnd"/>
      <w:r w:rsidR="005A3963" w:rsidRPr="005A3963">
        <w:rPr>
          <w:sz w:val="24"/>
          <w:szCs w:val="24"/>
        </w:rPr>
        <w:t xml:space="preserve"> einen Eindruck vom Lebensgefühl in Polen vor dem Mauerfall. Eine Fahrt nach </w:t>
      </w:r>
      <w:proofErr w:type="spellStart"/>
      <w:r w:rsidR="005A3963" w:rsidRPr="005A3963">
        <w:rPr>
          <w:sz w:val="24"/>
          <w:szCs w:val="24"/>
        </w:rPr>
        <w:t>Wieliczka</w:t>
      </w:r>
      <w:proofErr w:type="spellEnd"/>
      <w:r w:rsidR="005A3963" w:rsidRPr="005A3963">
        <w:rPr>
          <w:sz w:val="24"/>
          <w:szCs w:val="24"/>
        </w:rPr>
        <w:t xml:space="preserve"> zum eindrucksvollen Salzbergwerk, ebenfalls UNESCO-Welterbe, verschaffte einen Einblick in die Welt des „weißen Goldes“. Abgerundet wurden die spannenden Erlebnisse durch landestypische Abendveranstaltungen sowie informative Workshops und Produktschulungen von Studiosus und Allianz Global Assistance.</w:t>
      </w:r>
    </w:p>
    <w:p w:rsidR="005A3963" w:rsidRPr="005A3963" w:rsidRDefault="005A3963" w:rsidP="005A3963">
      <w:pPr>
        <w:spacing w:after="120" w:line="360" w:lineRule="auto"/>
        <w:rPr>
          <w:sz w:val="24"/>
          <w:szCs w:val="24"/>
        </w:rPr>
      </w:pPr>
      <w:r w:rsidRPr="005A3963">
        <w:rPr>
          <w:sz w:val="24"/>
          <w:szCs w:val="24"/>
        </w:rPr>
        <w:t>Die Premium Partner-Reisen sind Bestandteil des Premium Partner-Programms von Allianz Global Assistance. Neben einer intensiven Betreuung profitieren die Teilnehmer des Programms von weiteren Vorteilen, wie zum Beispiel eigens reservierte Telefonnummern und E-Mail-Adressen, Newslettern, Seminaren und Premium Partnertreffen.</w:t>
      </w:r>
    </w:p>
    <w:p w:rsidR="005A3963" w:rsidRDefault="005A3963" w:rsidP="005A3963">
      <w:pPr>
        <w:tabs>
          <w:tab w:val="left" w:pos="7371"/>
          <w:tab w:val="left" w:pos="7655"/>
          <w:tab w:val="left" w:pos="8222"/>
        </w:tabs>
        <w:autoSpaceDE w:val="0"/>
        <w:autoSpaceDN w:val="0"/>
        <w:adjustRightInd w:val="0"/>
        <w:spacing w:after="240" w:line="360" w:lineRule="auto"/>
        <w:jc w:val="both"/>
        <w:rPr>
          <w:rFonts w:cs="Arial"/>
          <w:sz w:val="24"/>
          <w:szCs w:val="24"/>
        </w:rPr>
      </w:pPr>
    </w:p>
    <w:p w:rsidR="00714103" w:rsidRDefault="00714103" w:rsidP="005A3963">
      <w:pPr>
        <w:tabs>
          <w:tab w:val="left" w:pos="7371"/>
          <w:tab w:val="left" w:pos="7655"/>
          <w:tab w:val="left" w:pos="8222"/>
        </w:tabs>
        <w:autoSpaceDE w:val="0"/>
        <w:autoSpaceDN w:val="0"/>
        <w:adjustRightInd w:val="0"/>
        <w:spacing w:after="240" w:line="360" w:lineRule="auto"/>
        <w:jc w:val="both"/>
        <w:rPr>
          <w:rFonts w:cs="Arial"/>
          <w:sz w:val="24"/>
          <w:szCs w:val="24"/>
        </w:rPr>
      </w:pPr>
    </w:p>
    <w:p w:rsidR="00714103" w:rsidRDefault="00714103" w:rsidP="005A3963">
      <w:pPr>
        <w:tabs>
          <w:tab w:val="left" w:pos="7371"/>
          <w:tab w:val="left" w:pos="7655"/>
          <w:tab w:val="left" w:pos="8222"/>
        </w:tabs>
        <w:autoSpaceDE w:val="0"/>
        <w:autoSpaceDN w:val="0"/>
        <w:adjustRightInd w:val="0"/>
        <w:spacing w:after="240" w:line="360" w:lineRule="auto"/>
        <w:jc w:val="both"/>
        <w:rPr>
          <w:rFonts w:cs="Arial"/>
          <w:sz w:val="24"/>
          <w:szCs w:val="24"/>
        </w:rPr>
      </w:pPr>
    </w:p>
    <w:p w:rsidR="00714103" w:rsidRDefault="00714103" w:rsidP="005A3963">
      <w:pPr>
        <w:tabs>
          <w:tab w:val="left" w:pos="7371"/>
          <w:tab w:val="left" w:pos="7655"/>
          <w:tab w:val="left" w:pos="8222"/>
        </w:tabs>
        <w:autoSpaceDE w:val="0"/>
        <w:autoSpaceDN w:val="0"/>
        <w:adjustRightInd w:val="0"/>
        <w:spacing w:after="240" w:line="360" w:lineRule="auto"/>
        <w:jc w:val="both"/>
        <w:rPr>
          <w:rFonts w:cs="Arial"/>
          <w:sz w:val="24"/>
          <w:szCs w:val="24"/>
        </w:rPr>
      </w:pPr>
    </w:p>
    <w:p w:rsidR="005A3963" w:rsidRDefault="005A3963" w:rsidP="005A3963">
      <w:pPr>
        <w:pBdr>
          <w:top w:val="single" w:sz="6" w:space="5" w:color="E1001A"/>
          <w:bottom w:val="single" w:sz="6" w:space="5" w:color="E1001A"/>
        </w:pBdr>
        <w:autoSpaceDE w:val="0"/>
        <w:autoSpaceDN w:val="0"/>
        <w:adjustRightInd w:val="0"/>
        <w:ind w:right="1"/>
        <w:jc w:val="both"/>
        <w:rPr>
          <w:rFonts w:cs="Arial"/>
          <w:spacing w:val="-2"/>
          <w:sz w:val="18"/>
          <w:szCs w:val="18"/>
        </w:rPr>
      </w:pPr>
      <w:r>
        <w:rPr>
          <w:rFonts w:cs="Arial"/>
          <w:b/>
          <w:spacing w:val="-2"/>
          <w:sz w:val="18"/>
          <w:szCs w:val="18"/>
        </w:rPr>
        <w:lastRenderedPageBreak/>
        <w:t xml:space="preserve">Über Allianz Global Assistance &amp; Allianz Partners </w:t>
      </w:r>
    </w:p>
    <w:p w:rsidR="005A3963" w:rsidRDefault="005A3963" w:rsidP="005A3963">
      <w:pPr>
        <w:pStyle w:val="xmsonormal"/>
        <w:spacing w:before="0" w:beforeAutospacing="0" w:after="0" w:afterAutospacing="0"/>
        <w:ind w:right="993"/>
        <w:jc w:val="both"/>
        <w:rPr>
          <w:rFonts w:ascii="Arial" w:hAnsi="Arial" w:cs="Arial"/>
          <w:sz w:val="18"/>
          <w:szCs w:val="18"/>
          <w:lang w:val="de-AT"/>
        </w:rPr>
      </w:pPr>
    </w:p>
    <w:p w:rsidR="005A3963" w:rsidRDefault="005A3963" w:rsidP="005A3963">
      <w:pPr>
        <w:pStyle w:val="xmsonormal"/>
        <w:spacing w:before="0" w:beforeAutospacing="0" w:after="0" w:afterAutospacing="0"/>
        <w:ind w:right="1"/>
        <w:jc w:val="both"/>
        <w:rPr>
          <w:rFonts w:ascii="Arial" w:hAnsi="Arial" w:cs="Arial"/>
          <w:sz w:val="18"/>
          <w:szCs w:val="18"/>
          <w:lang w:val="de-DE"/>
        </w:rPr>
      </w:pPr>
      <w:r>
        <w:rPr>
          <w:rFonts w:ascii="Arial" w:hAnsi="Arial" w:cs="Arial"/>
          <w:sz w:val="18"/>
          <w:szCs w:val="18"/>
          <w:lang w:val="de-AT"/>
        </w:rPr>
        <w:t xml:space="preserve">Allianz Global Assistance ist die Reiseversicherungs- und Assistance-Marke von Allianz Partners mit Firmenhauptsitz in Frankreich, Saint </w:t>
      </w:r>
      <w:proofErr w:type="spellStart"/>
      <w:r>
        <w:rPr>
          <w:rFonts w:ascii="Arial" w:hAnsi="Arial" w:cs="Arial"/>
          <w:sz w:val="18"/>
          <w:szCs w:val="18"/>
          <w:lang w:val="de-AT"/>
        </w:rPr>
        <w:t>Ouen</w:t>
      </w:r>
      <w:proofErr w:type="spellEnd"/>
      <w:r>
        <w:rPr>
          <w:rFonts w:ascii="Arial" w:hAnsi="Arial" w:cs="Arial"/>
          <w:sz w:val="18"/>
          <w:szCs w:val="18"/>
          <w:lang w:val="de-AT"/>
        </w:rPr>
        <w:t xml:space="preserve">. </w:t>
      </w:r>
      <w:r>
        <w:rPr>
          <w:rFonts w:ascii="Arial" w:hAnsi="Arial" w:cs="Arial"/>
          <w:sz w:val="18"/>
          <w:szCs w:val="18"/>
          <w:lang w:val="de-DE"/>
        </w:rPr>
        <w:t xml:space="preserve">Allianz Partners ist auf Versicherungsschutz und Hilfeleistungen in zahlreichen Geschäftsfeldern spezialisiert. </w:t>
      </w:r>
      <w:r>
        <w:rPr>
          <w:rFonts w:ascii="Arial" w:hAnsi="Arial" w:cs="Arial"/>
          <w:iCs/>
          <w:color w:val="000000"/>
          <w:sz w:val="18"/>
          <w:szCs w:val="18"/>
          <w:lang w:val="de-DE"/>
        </w:rPr>
        <w:t>Als B2B2C-Marktführer im Bereich Assistance und Versicherungslösungen ist das Unternehmen weltweiter Spezialist für folgende Bereiche: Assistance, Gesundheit &amp; Leben, KFZ und Reiseversicherungen. Diese Angebote, die eine Kombination aus Versicherung, Services und Technologie darstellen, stehen Geschäftspartnern sowie deren Kunden über direkte und digitale Kanäle unter den drei folgenden international bekannten Marken zur Verfügung: Allianz Global Assistance</w:t>
      </w:r>
      <w:r>
        <w:rPr>
          <w:rFonts w:ascii="Arial" w:hAnsi="Arial" w:cs="Arial"/>
          <w:b/>
          <w:iCs/>
          <w:color w:val="000000"/>
          <w:sz w:val="18"/>
          <w:szCs w:val="18"/>
          <w:lang w:val="de-DE"/>
        </w:rPr>
        <w:t>,</w:t>
      </w:r>
      <w:r>
        <w:rPr>
          <w:rFonts w:ascii="Arial" w:hAnsi="Arial" w:cs="Arial"/>
          <w:iCs/>
          <w:color w:val="000000"/>
          <w:sz w:val="18"/>
          <w:szCs w:val="18"/>
          <w:lang w:val="de-DE"/>
        </w:rPr>
        <w:t xml:space="preserve"> Allianz Care und Allianz Automotive.</w:t>
      </w:r>
      <w:r>
        <w:rPr>
          <w:rFonts w:ascii="Arial" w:hAnsi="Arial" w:cs="Arial"/>
          <w:sz w:val="18"/>
          <w:szCs w:val="18"/>
          <w:lang w:val="de-DE"/>
        </w:rPr>
        <w:t xml:space="preserve"> </w:t>
      </w:r>
    </w:p>
    <w:p w:rsidR="005A3963" w:rsidRDefault="005A3963" w:rsidP="005A3963">
      <w:pPr>
        <w:pStyle w:val="xmsonormal"/>
        <w:spacing w:before="0" w:beforeAutospacing="0" w:after="0" w:afterAutospacing="0"/>
        <w:ind w:right="993"/>
        <w:jc w:val="both"/>
        <w:rPr>
          <w:rFonts w:ascii="Arial" w:hAnsi="Arial" w:cs="Arial"/>
          <w:iCs/>
          <w:sz w:val="18"/>
          <w:szCs w:val="18"/>
          <w:lang w:val="de-DE"/>
        </w:rPr>
      </w:pPr>
      <w:r>
        <w:rPr>
          <w:rFonts w:ascii="Arial" w:hAnsi="Arial" w:cs="Arial"/>
          <w:sz w:val="18"/>
          <w:szCs w:val="18"/>
          <w:lang w:val="de-DE"/>
        </w:rPr>
        <w:t xml:space="preserve">Mehr als 17.500 Mitarbeiter in 76 Ländern, die 70 Sprachen sprechen, wickeln jährlich 44 Millionen Fälle auf allen Kontinenten ab. </w:t>
      </w:r>
    </w:p>
    <w:p w:rsidR="005A3963" w:rsidRDefault="005A3963" w:rsidP="005A3963">
      <w:pPr>
        <w:pStyle w:val="xmsonormal"/>
        <w:spacing w:before="0" w:beforeAutospacing="0" w:after="0" w:afterAutospacing="0"/>
        <w:ind w:right="993"/>
        <w:jc w:val="both"/>
        <w:rPr>
          <w:rFonts w:ascii="Arial" w:hAnsi="Arial" w:cs="Arial"/>
          <w:sz w:val="18"/>
          <w:szCs w:val="18"/>
          <w:lang w:val="de-DE"/>
        </w:rPr>
      </w:pPr>
    </w:p>
    <w:p w:rsidR="005A3963" w:rsidRDefault="005A3963" w:rsidP="005A3963">
      <w:pPr>
        <w:ind w:right="1"/>
        <w:jc w:val="both"/>
        <w:rPr>
          <w:rFonts w:cs="Arial"/>
          <w:sz w:val="18"/>
          <w:szCs w:val="18"/>
        </w:rPr>
      </w:pPr>
      <w:r>
        <w:rPr>
          <w:rFonts w:cs="Arial"/>
          <w:sz w:val="18"/>
          <w:szCs w:val="18"/>
        </w:rPr>
        <w:t xml:space="preserve">Die Allianz Partners Gruppe ist mit den zwei Unternehmen AWP P&amp;C S.A., Niederlassung für Deutschland und AWP Service Deutschland GmbH – jeweils mit Sitz in Aschheim bei München – vertreten. Sie bieten Leistungen im Bereich Spezialversicherungen für Reise, Freizeit und Auslandsaufenthalte sowie </w:t>
      </w:r>
      <w:proofErr w:type="spellStart"/>
      <w:r>
        <w:rPr>
          <w:rFonts w:cs="Arial"/>
          <w:sz w:val="18"/>
          <w:szCs w:val="18"/>
        </w:rPr>
        <w:t>Assistanceleistungen</w:t>
      </w:r>
      <w:proofErr w:type="spellEnd"/>
      <w:r>
        <w:rPr>
          <w:rFonts w:cs="Arial"/>
          <w:sz w:val="18"/>
          <w:szCs w:val="18"/>
        </w:rPr>
        <w:t xml:space="preserve"> an.</w:t>
      </w:r>
    </w:p>
    <w:p w:rsidR="005A3963" w:rsidRDefault="005A3963" w:rsidP="005A3963">
      <w:pPr>
        <w:spacing w:line="240" w:lineRule="atLeast"/>
        <w:ind w:right="1134"/>
        <w:jc w:val="both"/>
        <w:rPr>
          <w:sz w:val="18"/>
          <w:szCs w:val="18"/>
        </w:rPr>
      </w:pPr>
    </w:p>
    <w:p w:rsidR="005A3963" w:rsidRDefault="005A3963" w:rsidP="005A3963">
      <w:pPr>
        <w:ind w:right="1134"/>
      </w:pPr>
      <w:r>
        <w:rPr>
          <w:noProof/>
          <w:color w:val="0000FF"/>
        </w:rPr>
        <w:drawing>
          <wp:inline distT="0" distB="0" distL="0" distR="0" wp14:anchorId="5234ABB0" wp14:editId="49AB698F">
            <wp:extent cx="314325" cy="304800"/>
            <wp:effectExtent l="0" t="0" r="9525" b="0"/>
            <wp:docPr id="5" name="Grafik 5" descr="cid:image001.png@01D110A1.E07CA820">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110A1.E07CA82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14325" cy="304800"/>
                    </a:xfrm>
                    <a:prstGeom prst="rect">
                      <a:avLst/>
                    </a:prstGeom>
                    <a:noFill/>
                    <a:ln>
                      <a:noFill/>
                    </a:ln>
                  </pic:spPr>
                </pic:pic>
              </a:graphicData>
            </a:graphic>
          </wp:inline>
        </w:drawing>
      </w:r>
      <w:r>
        <w:rPr>
          <w:noProof/>
          <w:color w:val="0000FF"/>
        </w:rPr>
        <w:drawing>
          <wp:inline distT="0" distB="0" distL="0" distR="0" wp14:anchorId="4FFD7EFF" wp14:editId="4AFDD3A1">
            <wp:extent cx="314325" cy="304800"/>
            <wp:effectExtent l="0" t="0" r="9525" b="0"/>
            <wp:docPr id="4" name="Grafik 4" descr="cid:image002.png@01D110A1.E07CA820">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110A1.E07CA82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314325" cy="304800"/>
                    </a:xfrm>
                    <a:prstGeom prst="rect">
                      <a:avLst/>
                    </a:prstGeom>
                    <a:noFill/>
                    <a:ln>
                      <a:noFill/>
                    </a:ln>
                  </pic:spPr>
                </pic:pic>
              </a:graphicData>
            </a:graphic>
          </wp:inline>
        </w:drawing>
      </w:r>
      <w:r>
        <w:rPr>
          <w:noProof/>
          <w:color w:val="0000FF"/>
        </w:rPr>
        <w:drawing>
          <wp:inline distT="0" distB="0" distL="0" distR="0" wp14:anchorId="06AC9CE9" wp14:editId="270C4CD2">
            <wp:extent cx="314325" cy="304800"/>
            <wp:effectExtent l="0" t="0" r="9525" b="0"/>
            <wp:docPr id="3" name="Grafik 3" descr="cid:image003.png@01D110A1.E07CA820">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110A1.E07CA82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314325" cy="304800"/>
                    </a:xfrm>
                    <a:prstGeom prst="rect">
                      <a:avLst/>
                    </a:prstGeom>
                    <a:noFill/>
                    <a:ln>
                      <a:noFill/>
                    </a:ln>
                  </pic:spPr>
                </pic:pic>
              </a:graphicData>
            </a:graphic>
          </wp:inline>
        </w:drawing>
      </w:r>
      <w:r>
        <w:rPr>
          <w:noProof/>
          <w:color w:val="0000FF"/>
        </w:rPr>
        <w:drawing>
          <wp:inline distT="0" distB="0" distL="0" distR="0" wp14:anchorId="1DEBD448" wp14:editId="7B3B8646">
            <wp:extent cx="314325" cy="304800"/>
            <wp:effectExtent l="0" t="0" r="9525" b="0"/>
            <wp:docPr id="2" name="Grafik 2" descr="cid:image004.jpg@01D110A1.E07CA820">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4.jpg@01D110A1.E07CA820"/>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314325" cy="304800"/>
                    </a:xfrm>
                    <a:prstGeom prst="rect">
                      <a:avLst/>
                    </a:prstGeom>
                    <a:noFill/>
                    <a:ln>
                      <a:noFill/>
                    </a:ln>
                  </pic:spPr>
                </pic:pic>
              </a:graphicData>
            </a:graphic>
          </wp:inline>
        </w:drawing>
      </w:r>
    </w:p>
    <w:p w:rsidR="005A3963" w:rsidRDefault="005A3963" w:rsidP="005A3963"/>
    <w:p w:rsidR="005A3963" w:rsidRDefault="005A3963" w:rsidP="005A3963"/>
    <w:p w:rsidR="005A3963" w:rsidRDefault="005A3963" w:rsidP="005A3963"/>
    <w:p w:rsidR="005A3963" w:rsidRDefault="005A3963" w:rsidP="005A3963">
      <w:pPr>
        <w:tabs>
          <w:tab w:val="left" w:pos="7655"/>
        </w:tabs>
        <w:spacing w:line="360" w:lineRule="auto"/>
        <w:jc w:val="both"/>
        <w:rPr>
          <w:bCs w:val="0"/>
          <w:kern w:val="0"/>
          <w:sz w:val="18"/>
          <w:szCs w:val="24"/>
          <w:lang w:val="x-none" w:eastAsia="x-none"/>
        </w:rPr>
      </w:pPr>
      <w:r w:rsidRPr="00664E9F">
        <w:rPr>
          <w:bCs w:val="0"/>
          <w:kern w:val="0"/>
          <w:sz w:val="18"/>
          <w:szCs w:val="24"/>
          <w:lang w:val="x-none" w:eastAsia="x-none"/>
        </w:rPr>
        <w:t>Für weitere Presseauskünfte und Rückfragen wenden Sie sich bitte an:</w:t>
      </w:r>
    </w:p>
    <w:p w:rsidR="005A3963" w:rsidRDefault="005A3963" w:rsidP="005A3963">
      <w:pPr>
        <w:tabs>
          <w:tab w:val="left" w:pos="7655"/>
        </w:tabs>
        <w:jc w:val="both"/>
        <w:rPr>
          <w:rFonts w:cs="Arial"/>
          <w:sz w:val="18"/>
          <w:szCs w:val="18"/>
        </w:rPr>
      </w:pPr>
      <w:r w:rsidRPr="00372D97">
        <w:rPr>
          <w:bCs w:val="0"/>
          <w:noProof/>
          <w:kern w:val="0"/>
          <w:sz w:val="18"/>
          <w:szCs w:val="24"/>
        </w:rPr>
        <mc:AlternateContent>
          <mc:Choice Requires="wps">
            <w:drawing>
              <wp:anchor distT="0" distB="0" distL="114300" distR="114300" simplePos="0" relativeHeight="251657216" behindDoc="0" locked="0" layoutInCell="1" allowOverlap="1" wp14:anchorId="359B2D82" wp14:editId="1D2D944B">
                <wp:simplePos x="0" y="0"/>
                <wp:positionH relativeFrom="column">
                  <wp:posOffset>3202305</wp:posOffset>
                </wp:positionH>
                <wp:positionV relativeFrom="paragraph">
                  <wp:posOffset>76200</wp:posOffset>
                </wp:positionV>
                <wp:extent cx="3286760" cy="1200150"/>
                <wp:effectExtent l="0" t="0" r="8890" b="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760" cy="1200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3963" w:rsidRPr="00D620F2" w:rsidRDefault="005A3963" w:rsidP="005A3963">
                            <w:pPr>
                              <w:tabs>
                                <w:tab w:val="left" w:pos="7655"/>
                              </w:tabs>
                              <w:jc w:val="both"/>
                              <w:rPr>
                                <w:rFonts w:ascii="Times New Roman" w:hAnsi="Times New Roman"/>
                                <w:sz w:val="18"/>
                                <w:lang w:val="nb-NO"/>
                              </w:rPr>
                            </w:pPr>
                            <w:r w:rsidRPr="00D620F2">
                              <w:rPr>
                                <w:rFonts w:cs="Arial"/>
                                <w:sz w:val="18"/>
                                <w:lang w:val="nb-NO"/>
                              </w:rPr>
                              <w:t>Nuno dos Santos</w:t>
                            </w:r>
                          </w:p>
                          <w:p w:rsidR="005A3963" w:rsidRPr="00D620F2" w:rsidRDefault="005A3963" w:rsidP="005A3963">
                            <w:pPr>
                              <w:pStyle w:val="Textkrper"/>
                              <w:tabs>
                                <w:tab w:val="left" w:pos="7655"/>
                              </w:tabs>
                              <w:spacing w:line="240" w:lineRule="auto"/>
                              <w:ind w:right="1416"/>
                              <w:jc w:val="both"/>
                              <w:rPr>
                                <w:sz w:val="18"/>
                                <w:lang w:val="nb-NO"/>
                              </w:rPr>
                            </w:pPr>
                            <w:r w:rsidRPr="00D620F2">
                              <w:rPr>
                                <w:sz w:val="18"/>
                                <w:lang w:val="nb-NO"/>
                              </w:rPr>
                              <w:t>Serviceplan Public Relations &amp; Content</w:t>
                            </w:r>
                          </w:p>
                          <w:p w:rsidR="005A3963" w:rsidRPr="00D620F2" w:rsidRDefault="005A3963" w:rsidP="005A3963">
                            <w:pPr>
                              <w:pStyle w:val="Textkrper"/>
                              <w:tabs>
                                <w:tab w:val="left" w:pos="7655"/>
                              </w:tabs>
                              <w:spacing w:line="240" w:lineRule="auto"/>
                              <w:ind w:right="1416"/>
                              <w:jc w:val="both"/>
                              <w:rPr>
                                <w:sz w:val="18"/>
                              </w:rPr>
                            </w:pPr>
                            <w:r w:rsidRPr="00D620F2">
                              <w:rPr>
                                <w:sz w:val="18"/>
                              </w:rPr>
                              <w:t xml:space="preserve">Telefon: (089) </w:t>
                            </w:r>
                            <w:r w:rsidRPr="00D620F2">
                              <w:rPr>
                                <w:sz w:val="18"/>
                                <w:lang w:val="nb-NO"/>
                              </w:rPr>
                              <w:t>2050-4156</w:t>
                            </w:r>
                          </w:p>
                          <w:p w:rsidR="005A3963" w:rsidRPr="00D620F2" w:rsidRDefault="005A3963" w:rsidP="005A3963">
                            <w:pPr>
                              <w:pStyle w:val="Textkrper"/>
                              <w:tabs>
                                <w:tab w:val="left" w:pos="7655"/>
                              </w:tabs>
                              <w:spacing w:line="240" w:lineRule="auto"/>
                              <w:ind w:right="1416"/>
                              <w:jc w:val="both"/>
                              <w:rPr>
                                <w:sz w:val="18"/>
                              </w:rPr>
                            </w:pPr>
                            <w:r w:rsidRPr="00D620F2">
                              <w:rPr>
                                <w:sz w:val="18"/>
                              </w:rPr>
                              <w:t xml:space="preserve">Fax: (089) </w:t>
                            </w:r>
                            <w:r>
                              <w:rPr>
                                <w:sz w:val="18"/>
                                <w:lang w:val="nb-NO"/>
                              </w:rPr>
                              <w:t>2050-604156</w:t>
                            </w:r>
                          </w:p>
                          <w:p w:rsidR="005A3963" w:rsidRPr="00D620F2" w:rsidRDefault="005A3963" w:rsidP="005A3963">
                            <w:pPr>
                              <w:pStyle w:val="Textkrper"/>
                              <w:tabs>
                                <w:tab w:val="left" w:pos="7655"/>
                              </w:tabs>
                              <w:spacing w:line="240" w:lineRule="auto"/>
                              <w:ind w:right="1416"/>
                              <w:jc w:val="both"/>
                              <w:rPr>
                                <w:sz w:val="18"/>
                                <w:lang w:val="nb-NO"/>
                              </w:rPr>
                            </w:pPr>
                            <w:r w:rsidRPr="00D620F2">
                              <w:rPr>
                                <w:sz w:val="18"/>
                                <w:lang w:val="it-IT"/>
                              </w:rPr>
                              <w:t xml:space="preserve">E-Mail: </w:t>
                            </w:r>
                            <w:r w:rsidRPr="00D620F2">
                              <w:rPr>
                                <w:color w:val="000000"/>
                                <w:sz w:val="18"/>
                                <w:lang w:val="nb-NO"/>
                              </w:rPr>
                              <w:t>n.dos</w:t>
                            </w:r>
                            <w:r>
                              <w:rPr>
                                <w:color w:val="000000"/>
                                <w:sz w:val="18"/>
                                <w:lang w:val="nb-NO"/>
                              </w:rPr>
                              <w:t>s</w:t>
                            </w:r>
                            <w:r w:rsidRPr="00D620F2">
                              <w:rPr>
                                <w:color w:val="000000"/>
                                <w:sz w:val="18"/>
                                <w:lang w:val="nb-NO"/>
                              </w:rPr>
                              <w:t>antos@serviceplan.com</w:t>
                            </w:r>
                          </w:p>
                          <w:p w:rsidR="005A3963" w:rsidRPr="00D620F2" w:rsidRDefault="005A3963" w:rsidP="005A3963">
                            <w:pPr>
                              <w:tabs>
                                <w:tab w:val="left" w:pos="7655"/>
                              </w:tabs>
                              <w:jc w:val="both"/>
                              <w:rPr>
                                <w:rFonts w:cs="Arial"/>
                                <w:sz w:val="18"/>
                                <w:lang w:val="nb-NO"/>
                              </w:rPr>
                            </w:pPr>
                            <w:r w:rsidRPr="00D620F2">
                              <w:rPr>
                                <w:rFonts w:cs="Arial"/>
                                <w:sz w:val="18"/>
                                <w:lang w:val="nb-NO"/>
                              </w:rPr>
                              <w:t>Haus der Kommunikation</w:t>
                            </w:r>
                          </w:p>
                          <w:p w:rsidR="005A3963" w:rsidRPr="00D620F2" w:rsidRDefault="005A3963" w:rsidP="005A3963">
                            <w:pPr>
                              <w:tabs>
                                <w:tab w:val="left" w:pos="7655"/>
                              </w:tabs>
                              <w:jc w:val="both"/>
                              <w:rPr>
                                <w:rFonts w:cs="Arial"/>
                                <w:sz w:val="18"/>
                                <w:lang w:val="nb-NO"/>
                              </w:rPr>
                            </w:pPr>
                            <w:r w:rsidRPr="00D620F2">
                              <w:rPr>
                                <w:rFonts w:cs="Arial"/>
                                <w:sz w:val="18"/>
                                <w:lang w:val="nb-NO"/>
                              </w:rPr>
                              <w:t>Brienner Straße 45 a-d</w:t>
                            </w:r>
                          </w:p>
                          <w:p w:rsidR="005A3963" w:rsidRDefault="005A3963" w:rsidP="005A3963">
                            <w:pPr>
                              <w:tabs>
                                <w:tab w:val="left" w:pos="7655"/>
                              </w:tabs>
                              <w:jc w:val="both"/>
                            </w:pPr>
                            <w:r w:rsidRPr="00D620F2">
                              <w:rPr>
                                <w:rFonts w:cs="Arial"/>
                                <w:sz w:val="18"/>
                                <w:lang w:val="nb-NO"/>
                              </w:rPr>
                              <w:t>80333 München</w:t>
                            </w:r>
                          </w:p>
                          <w:p w:rsidR="005A3963" w:rsidRDefault="005A3963" w:rsidP="005A396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359B2D82" id="_x0000_t202" coordsize="21600,21600" o:spt="202" path="m,l,21600r21600,l21600,xe">
                <v:stroke joinstyle="miter"/>
                <v:path gradientshapeok="t" o:connecttype="rect"/>
              </v:shapetype>
              <v:shape id="Textfeld 1" o:spid="_x0000_s1026" type="#_x0000_t202" style="position:absolute;left:0;text-align:left;margin-left:252.15pt;margin-top:6pt;width:258.8pt;height: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" stroked="f">
                <v:textbox>
                  <w:txbxContent>
                    <w:p w:rsidR="005A3963" w:rsidRPr="00D620F2" w:rsidRDefault="005A3963" w:rsidP="005A3963">
                      <w:pPr>
                        <w:tabs>
                          <w:tab w:val="left" w:pos="7655"/>
                        </w:tabs>
                        <w:jc w:val="both"/>
                        <w:rPr>
                          <w:rFonts w:ascii="Times New Roman" w:hAnsi="Times New Roman"/>
                          <w:sz w:val="18"/>
                          <w:lang w:val="nb-NO"/>
                        </w:rPr>
                      </w:pPr>
                      <w:r w:rsidRPr="00D620F2">
                        <w:rPr>
                          <w:rFonts w:cs="Arial"/>
                          <w:sz w:val="18"/>
                          <w:lang w:val="nb-NO"/>
                        </w:rPr>
                        <w:t>Nuno dos Santos</w:t>
                      </w:r>
                    </w:p>
                    <w:p w:rsidR="005A3963" w:rsidRPr="00D620F2" w:rsidRDefault="005A3963" w:rsidP="005A3963">
                      <w:pPr>
                        <w:pStyle w:val="Textkrper"/>
                        <w:tabs>
                          <w:tab w:val="left" w:pos="7655"/>
                        </w:tabs>
                        <w:spacing w:line="240" w:lineRule="auto"/>
                        <w:ind w:right="1416"/>
                        <w:jc w:val="both"/>
                        <w:rPr>
                          <w:sz w:val="18"/>
                          <w:lang w:val="nb-NO"/>
                        </w:rPr>
                      </w:pPr>
                      <w:r w:rsidRPr="00D620F2">
                        <w:rPr>
                          <w:sz w:val="18"/>
                          <w:lang w:val="nb-NO"/>
                        </w:rPr>
                        <w:t>Serviceplan Public Relations &amp; Content</w:t>
                      </w:r>
                    </w:p>
                    <w:p w:rsidR="005A3963" w:rsidRPr="00D620F2" w:rsidRDefault="005A3963" w:rsidP="005A3963">
                      <w:pPr>
                        <w:pStyle w:val="Textkrper"/>
                        <w:tabs>
                          <w:tab w:val="left" w:pos="7655"/>
                        </w:tabs>
                        <w:spacing w:line="240" w:lineRule="auto"/>
                        <w:ind w:right="1416"/>
                        <w:jc w:val="both"/>
                        <w:rPr>
                          <w:sz w:val="18"/>
                        </w:rPr>
                      </w:pPr>
                      <w:r w:rsidRPr="00D620F2">
                        <w:rPr>
                          <w:sz w:val="18"/>
                        </w:rPr>
                        <w:t xml:space="preserve">Telefon: (089) </w:t>
                      </w:r>
                      <w:r w:rsidRPr="00D620F2">
                        <w:rPr>
                          <w:sz w:val="18"/>
                          <w:lang w:val="nb-NO"/>
                        </w:rPr>
                        <w:t>2050-4156</w:t>
                      </w:r>
                    </w:p>
                    <w:p w:rsidR="005A3963" w:rsidRPr="00D620F2" w:rsidRDefault="005A3963" w:rsidP="005A3963">
                      <w:pPr>
                        <w:pStyle w:val="Textkrper"/>
                        <w:tabs>
                          <w:tab w:val="left" w:pos="7655"/>
                        </w:tabs>
                        <w:spacing w:line="240" w:lineRule="auto"/>
                        <w:ind w:right="1416"/>
                        <w:jc w:val="both"/>
                        <w:rPr>
                          <w:sz w:val="18"/>
                        </w:rPr>
                      </w:pPr>
                      <w:r w:rsidRPr="00D620F2">
                        <w:rPr>
                          <w:sz w:val="18"/>
                        </w:rPr>
                        <w:t xml:space="preserve">Fax: (089) </w:t>
                      </w:r>
                      <w:r>
                        <w:rPr>
                          <w:sz w:val="18"/>
                          <w:lang w:val="nb-NO"/>
                        </w:rPr>
                        <w:t>2050-604156</w:t>
                      </w:r>
                    </w:p>
                    <w:p w:rsidR="005A3963" w:rsidRPr="00D620F2" w:rsidRDefault="005A3963" w:rsidP="005A3963">
                      <w:pPr>
                        <w:pStyle w:val="Textkrper"/>
                        <w:tabs>
                          <w:tab w:val="left" w:pos="7655"/>
                        </w:tabs>
                        <w:spacing w:line="240" w:lineRule="auto"/>
                        <w:ind w:right="1416"/>
                        <w:jc w:val="both"/>
                        <w:rPr>
                          <w:sz w:val="18"/>
                          <w:lang w:val="nb-NO"/>
                        </w:rPr>
                      </w:pPr>
                      <w:r w:rsidRPr="00D620F2">
                        <w:rPr>
                          <w:sz w:val="18"/>
                          <w:lang w:val="it-IT"/>
                        </w:rPr>
                        <w:t xml:space="preserve">E-Mail: </w:t>
                      </w:r>
                      <w:r w:rsidRPr="00D620F2">
                        <w:rPr>
                          <w:color w:val="000000"/>
                          <w:sz w:val="18"/>
                          <w:lang w:val="nb-NO"/>
                        </w:rPr>
                        <w:t>n.dos</w:t>
                      </w:r>
                      <w:r>
                        <w:rPr>
                          <w:color w:val="000000"/>
                          <w:sz w:val="18"/>
                          <w:lang w:val="nb-NO"/>
                        </w:rPr>
                        <w:t>s</w:t>
                      </w:r>
                      <w:r w:rsidRPr="00D620F2">
                        <w:rPr>
                          <w:color w:val="000000"/>
                          <w:sz w:val="18"/>
                          <w:lang w:val="nb-NO"/>
                        </w:rPr>
                        <w:t>antos@serviceplan.com</w:t>
                      </w:r>
                    </w:p>
                    <w:p w:rsidR="005A3963" w:rsidRPr="00D620F2" w:rsidRDefault="005A3963" w:rsidP="005A3963">
                      <w:pPr>
                        <w:tabs>
                          <w:tab w:val="left" w:pos="7655"/>
                        </w:tabs>
                        <w:jc w:val="both"/>
                        <w:rPr>
                          <w:rFonts w:cs="Arial"/>
                          <w:sz w:val="18"/>
                          <w:lang w:val="nb-NO"/>
                        </w:rPr>
                      </w:pPr>
                      <w:r w:rsidRPr="00D620F2">
                        <w:rPr>
                          <w:rFonts w:cs="Arial"/>
                          <w:sz w:val="18"/>
                          <w:lang w:val="nb-NO"/>
                        </w:rPr>
                        <w:t>Haus der Kommunikation</w:t>
                      </w:r>
                    </w:p>
                    <w:p w:rsidR="005A3963" w:rsidRPr="00D620F2" w:rsidRDefault="005A3963" w:rsidP="005A3963">
                      <w:pPr>
                        <w:tabs>
                          <w:tab w:val="left" w:pos="7655"/>
                        </w:tabs>
                        <w:jc w:val="both"/>
                        <w:rPr>
                          <w:rFonts w:cs="Arial"/>
                          <w:sz w:val="18"/>
                          <w:lang w:val="nb-NO"/>
                        </w:rPr>
                      </w:pPr>
                      <w:r w:rsidRPr="00D620F2">
                        <w:rPr>
                          <w:rFonts w:cs="Arial"/>
                          <w:sz w:val="18"/>
                          <w:lang w:val="nb-NO"/>
                        </w:rPr>
                        <w:t>Brienner Straße 45 a-d</w:t>
                      </w:r>
                    </w:p>
                    <w:p w:rsidR="005A3963" w:rsidRDefault="005A3963" w:rsidP="005A3963">
                      <w:pPr>
                        <w:tabs>
                          <w:tab w:val="left" w:pos="7655"/>
                        </w:tabs>
                        <w:jc w:val="both"/>
                      </w:pPr>
                      <w:r w:rsidRPr="00D620F2">
                        <w:rPr>
                          <w:rFonts w:cs="Arial"/>
                          <w:sz w:val="18"/>
                          <w:lang w:val="nb-NO"/>
                        </w:rPr>
                        <w:t>80333 München</w:t>
                      </w:r>
                    </w:p>
                    <w:p w:rsidR="005A3963" w:rsidRDefault="005A3963" w:rsidP="005A3963"/>
                  </w:txbxContent>
                </v:textbox>
              </v:shape>
            </w:pict>
          </mc:Fallback>
        </mc:AlternateContent>
      </w:r>
    </w:p>
    <w:p w:rsidR="005A3963" w:rsidRPr="0023773E" w:rsidRDefault="005A3963" w:rsidP="005A3963">
      <w:pPr>
        <w:tabs>
          <w:tab w:val="left" w:pos="7655"/>
        </w:tabs>
        <w:jc w:val="both"/>
        <w:rPr>
          <w:b/>
          <w:bCs w:val="0"/>
          <w:kern w:val="0"/>
          <w:sz w:val="18"/>
          <w:szCs w:val="24"/>
          <w:lang w:eastAsia="x-none"/>
        </w:rPr>
      </w:pPr>
      <w:r w:rsidRPr="005A14F3">
        <w:rPr>
          <w:bCs w:val="0"/>
          <w:noProof/>
          <w:kern w:val="0"/>
          <w:sz w:val="18"/>
          <w:szCs w:val="24"/>
        </w:rPr>
        <w:t>Monika</w:t>
      </w:r>
      <w:r w:rsidRPr="005A14F3">
        <w:rPr>
          <w:bCs w:val="0"/>
          <w:kern w:val="0"/>
          <w:sz w:val="18"/>
          <w:szCs w:val="24"/>
          <w:lang w:eastAsia="x-none"/>
        </w:rPr>
        <w:t xml:space="preserve"> Reitsam-Rieger</w:t>
      </w:r>
    </w:p>
    <w:p w:rsidR="005A3963" w:rsidRPr="00377A23" w:rsidRDefault="005A3963" w:rsidP="005A3963">
      <w:pPr>
        <w:rPr>
          <w:rFonts w:cs="Arial"/>
          <w:bCs w:val="0"/>
          <w:kern w:val="0"/>
          <w:sz w:val="18"/>
          <w:szCs w:val="18"/>
        </w:rPr>
      </w:pPr>
      <w:r w:rsidRPr="00377A23">
        <w:rPr>
          <w:rFonts w:cs="Arial"/>
          <w:sz w:val="18"/>
          <w:szCs w:val="18"/>
        </w:rPr>
        <w:t>Stellvertretende Leiterin Unternehmenskommunikation</w:t>
      </w:r>
    </w:p>
    <w:p w:rsidR="005A3963" w:rsidRDefault="005A3963" w:rsidP="005A3963">
      <w:pPr>
        <w:autoSpaceDE w:val="0"/>
        <w:autoSpaceDN w:val="0"/>
        <w:adjustRightInd w:val="0"/>
        <w:rPr>
          <w:rFonts w:cs="Arial"/>
          <w:sz w:val="18"/>
          <w:szCs w:val="18"/>
        </w:rPr>
      </w:pPr>
      <w:r>
        <w:rPr>
          <w:rFonts w:cs="Arial"/>
          <w:sz w:val="18"/>
          <w:szCs w:val="18"/>
        </w:rPr>
        <w:t>AWP P&amp;C S.A., Niederlassung für Deutschland</w:t>
      </w:r>
    </w:p>
    <w:p w:rsidR="005A3963" w:rsidRPr="00E90458" w:rsidRDefault="005A3963" w:rsidP="005A3963">
      <w:pPr>
        <w:autoSpaceDE w:val="0"/>
        <w:autoSpaceDN w:val="0"/>
        <w:adjustRightInd w:val="0"/>
        <w:rPr>
          <w:rFonts w:cs="Arial"/>
          <w:sz w:val="18"/>
          <w:szCs w:val="18"/>
          <w:lang w:val="it-IT"/>
        </w:rPr>
      </w:pPr>
      <w:proofErr w:type="spellStart"/>
      <w:r>
        <w:rPr>
          <w:rFonts w:cs="Arial"/>
          <w:sz w:val="18"/>
          <w:szCs w:val="18"/>
          <w:lang w:val="it-IT"/>
        </w:rPr>
        <w:t>Telefon</w:t>
      </w:r>
      <w:proofErr w:type="spellEnd"/>
      <w:r>
        <w:rPr>
          <w:rFonts w:cs="Arial"/>
          <w:sz w:val="18"/>
          <w:szCs w:val="18"/>
          <w:lang w:val="it-IT"/>
        </w:rPr>
        <w:t>: (089) 26 20 83 - 4113</w:t>
      </w:r>
    </w:p>
    <w:p w:rsidR="005A3963" w:rsidRDefault="005A3963" w:rsidP="005A3963">
      <w:pPr>
        <w:autoSpaceDE w:val="0"/>
        <w:autoSpaceDN w:val="0"/>
        <w:adjustRightInd w:val="0"/>
        <w:rPr>
          <w:rFonts w:cs="Arial"/>
          <w:sz w:val="18"/>
          <w:szCs w:val="18"/>
          <w:lang w:val="it-IT"/>
        </w:rPr>
      </w:pPr>
      <w:r>
        <w:rPr>
          <w:rFonts w:cs="Arial"/>
          <w:sz w:val="18"/>
          <w:szCs w:val="18"/>
          <w:lang w:val="it-IT"/>
        </w:rPr>
        <w:t xml:space="preserve">E-Mail: </w:t>
      </w:r>
      <w:r>
        <w:rPr>
          <w:rFonts w:cs="Arial"/>
          <w:color w:val="000000"/>
          <w:sz w:val="18"/>
          <w:szCs w:val="18"/>
          <w:lang w:val="it-IT"/>
        </w:rPr>
        <w:t>presse-awpde@allianz.com</w:t>
      </w:r>
      <w:r>
        <w:rPr>
          <w:rFonts w:cs="Arial"/>
          <w:sz w:val="18"/>
          <w:szCs w:val="18"/>
          <w:lang w:val="it-IT"/>
        </w:rPr>
        <w:t xml:space="preserve"> </w:t>
      </w:r>
      <w:r>
        <w:rPr>
          <w:rFonts w:cs="Arial"/>
          <w:sz w:val="18"/>
          <w:szCs w:val="18"/>
          <w:lang w:val="it-IT"/>
        </w:rPr>
        <w:tab/>
      </w:r>
      <w:r>
        <w:rPr>
          <w:rFonts w:cs="Arial"/>
          <w:sz w:val="18"/>
          <w:szCs w:val="18"/>
          <w:lang w:val="it-IT"/>
        </w:rPr>
        <w:tab/>
      </w:r>
      <w:r>
        <w:rPr>
          <w:rFonts w:cs="Arial"/>
          <w:sz w:val="18"/>
          <w:szCs w:val="18"/>
          <w:lang w:val="it-IT"/>
        </w:rPr>
        <w:tab/>
        <w:t xml:space="preserve">  </w:t>
      </w:r>
      <w:r>
        <w:rPr>
          <w:rFonts w:cs="Arial"/>
          <w:sz w:val="18"/>
          <w:szCs w:val="18"/>
          <w:lang w:val="it-IT"/>
        </w:rPr>
        <w:tab/>
      </w:r>
      <w:r>
        <w:rPr>
          <w:rFonts w:cs="Arial"/>
          <w:sz w:val="18"/>
          <w:szCs w:val="18"/>
          <w:lang w:val="it-IT"/>
        </w:rPr>
        <w:tab/>
      </w:r>
    </w:p>
    <w:p w:rsidR="005A3963" w:rsidRPr="007101E1" w:rsidRDefault="005A3963" w:rsidP="005A3963">
      <w:pPr>
        <w:autoSpaceDE w:val="0"/>
        <w:autoSpaceDN w:val="0"/>
        <w:adjustRightInd w:val="0"/>
        <w:rPr>
          <w:rFonts w:cs="Arial"/>
          <w:sz w:val="18"/>
          <w:szCs w:val="18"/>
          <w:lang w:val="it-IT"/>
        </w:rPr>
      </w:pPr>
      <w:proofErr w:type="spellStart"/>
      <w:r w:rsidRPr="007101E1">
        <w:rPr>
          <w:rFonts w:cs="Arial"/>
          <w:sz w:val="18"/>
          <w:szCs w:val="18"/>
          <w:lang w:val="it-IT"/>
        </w:rPr>
        <w:t>Bahnhofstraße</w:t>
      </w:r>
      <w:proofErr w:type="spellEnd"/>
      <w:r w:rsidRPr="007101E1">
        <w:rPr>
          <w:rFonts w:cs="Arial"/>
          <w:sz w:val="18"/>
          <w:szCs w:val="18"/>
          <w:lang w:val="it-IT"/>
        </w:rPr>
        <w:t xml:space="preserve"> 16</w:t>
      </w:r>
    </w:p>
    <w:p w:rsidR="005A3963" w:rsidRDefault="005A3963" w:rsidP="005A3963">
      <w:pPr>
        <w:tabs>
          <w:tab w:val="left" w:pos="7655"/>
        </w:tabs>
        <w:spacing w:line="360" w:lineRule="auto"/>
        <w:jc w:val="both"/>
        <w:rPr>
          <w:rFonts w:cs="Arial"/>
          <w:sz w:val="18"/>
          <w:szCs w:val="18"/>
        </w:rPr>
      </w:pPr>
      <w:r w:rsidRPr="00413AE6">
        <w:rPr>
          <w:rFonts w:cs="Arial"/>
          <w:sz w:val="18"/>
          <w:szCs w:val="18"/>
        </w:rPr>
        <w:t>85609 Aschheim</w:t>
      </w:r>
    </w:p>
    <w:p w:rsidR="005A3963" w:rsidRDefault="005A3963" w:rsidP="005A3963">
      <w:pPr>
        <w:autoSpaceDE w:val="0"/>
        <w:autoSpaceDN w:val="0"/>
        <w:adjustRightInd w:val="0"/>
        <w:rPr>
          <w:rFonts w:cs="Arial"/>
          <w:sz w:val="18"/>
          <w:szCs w:val="18"/>
        </w:rPr>
      </w:pPr>
    </w:p>
    <w:p w:rsidR="005A3963" w:rsidRPr="006A6B50" w:rsidRDefault="005A3963" w:rsidP="005A3963">
      <w:pPr>
        <w:autoSpaceDE w:val="0"/>
        <w:autoSpaceDN w:val="0"/>
        <w:adjustRightInd w:val="0"/>
        <w:rPr>
          <w:rFonts w:cs="Arial"/>
          <w:sz w:val="18"/>
          <w:szCs w:val="18"/>
        </w:rPr>
      </w:pPr>
      <w:r>
        <w:rPr>
          <w:noProof/>
        </w:rPr>
        <w:drawing>
          <wp:anchor distT="0" distB="0" distL="114300" distR="114300" simplePos="0" relativeHeight="251656192" behindDoc="1" locked="0" layoutInCell="1" allowOverlap="1" wp14:anchorId="789EC055" wp14:editId="7D457AD4">
            <wp:simplePos x="0" y="0"/>
            <wp:positionH relativeFrom="margin">
              <wp:align>left</wp:align>
            </wp:positionH>
            <wp:positionV relativeFrom="paragraph">
              <wp:posOffset>352425</wp:posOffset>
            </wp:positionV>
            <wp:extent cx="5760720" cy="2581910"/>
            <wp:effectExtent l="0" t="0" r="0" b="8890"/>
            <wp:wrapTight wrapText="bothSides">
              <wp:wrapPolygon edited="0">
                <wp:start x="1071" y="0"/>
                <wp:lineTo x="571" y="478"/>
                <wp:lineTo x="0" y="1912"/>
                <wp:lineTo x="0" y="19124"/>
                <wp:lineTo x="286" y="20399"/>
                <wp:lineTo x="286" y="20718"/>
                <wp:lineTo x="1071" y="21515"/>
                <wp:lineTo x="1357" y="21515"/>
                <wp:lineTo x="20071" y="21515"/>
                <wp:lineTo x="20357" y="21515"/>
                <wp:lineTo x="21286" y="20399"/>
                <wp:lineTo x="21500" y="18646"/>
                <wp:lineTo x="21500" y="2072"/>
                <wp:lineTo x="20786" y="478"/>
                <wp:lineTo x="20357" y="0"/>
                <wp:lineTo x="1071" y="0"/>
              </wp:wrapPolygon>
            </wp:wrapTight>
            <wp:docPr id="8" name="Grafik 8" descr="Vorbehalt bei Zukunftsaussagen&#10;Soweit wir in diesem Dokument Prognosen oder Erwartungen äußern oder die Zukunft betreffende Aussagen machen, können diese Aussagen mit bekannten und unbekannten Risiken und Ungewissheiten verbunden sein. Die tatsächlichen Ergebnisse und Entwicklungen können daher wesentlich von den geäußerten Erwartungen und Annahmen abweichen. Neben weiteren hier nicht aufgeführten Gründen können sich Abweichungen aus Veränderungen der allgemeinen wirtschaftlichen Lage und der Wettbewerbssituation, vor allem in Allianz Kerngeschäftsfeldern und -märkten, aus Akquisitionen sowie der anschließenden Integration von Unternehmen und aus Restrukturierungsmaßnahmen ergeben. &#10;Abweichungen können außerdem aus dem Ausmaß oder der Häufigkeit von Versicherungsfällen (zum Beispiel aus Naturkatastrophen), der Entwicklung von Schadenskosten, Stornoraten, Sterblichkeits- und Krankheitsraten beziehungsweise  Tendenzen und, insbesondere im Bank- und Kapitalanlagebereich, aus dem Ausfall von Kreditnehmern und sonstigen Schuldnern resultieren. Auch die Entwicklungen der Finanzmärkte (zum Beispiel Marktschwankungen und Kreditausfälle) und der Wechselkurse sowie nationale und internationale Gesetzesänderungen, insbesondere hinsichtlich steuerlicher Regelungen, können entsprechenden Einfluss haben. Terroranschläge und deren Folgen können die Wahrscheinlichkeit und das Ausmaß von Abweichungen erhöhen. &#10;Die hier dargestellten Sachverhalte können auch durch Risiken und Unsicherheiten beeinflusst werden, die in den jeweiligen Meldungen der Allianz SE an die US Securities and Exchange Commission beschrieben werden.&#10;Keine Pflicht zur Aktualisierung&#10;Die Gesellschaft übernimmt keine Verpflichtung, Zukunftsaussagen zu aktualisieren. Die Gesellschaft übernimmt ferner keine Verpflichtung, die in dieser Meldung enthaltenen Aussagen zu aktualisieren.&#10;"/>
            <wp:cNvGraphicFramePr/>
            <a:graphic xmlns:a="http://schemas.openxmlformats.org/drawingml/2006/main">
              <a:graphicData uri="http://schemas.openxmlformats.org/drawingml/2006/picture">
                <pic:pic xmlns:pic="http://schemas.openxmlformats.org/drawingml/2006/picture">
                  <pic:nvPicPr>
                    <pic:cNvPr id="7" name="Grafik 7" descr="Vorbehalt bei Zukunftsaussagen&#10;Soweit wir in diesem Dokument Prognosen oder Erwartungen äußern oder die Zukunft betreffende Aussagen machen, können diese Aussagen mit bekannten und unbekannten Risiken und Ungewissheiten verbunden sein. Die tatsächlichen Ergebnisse und Entwicklungen können daher wesentlich von den geäußerten Erwartungen und Annahmen abweichen. Neben weiteren hier nicht aufgeführten Gründen können sich Abweichungen aus Veränderungen der allgemeinen wirtschaftlichen Lage und der Wettbewerbssituation, vor allem in Allianz Kerngeschäftsfeldern und -märkten, aus Akquisitionen sowie der anschließenden Integration von Unternehmen und aus Restrukturierungsmaßnahmen ergeben. &#10;Abweichungen können außerdem aus dem Ausmaß oder der Häufigkeit von Versicherungsfällen (zum Beispiel aus Naturkatastrophen), der Entwicklung von Schadenskosten, Stornoraten, Sterblichkeits- und Krankheitsraten beziehungsweise  Tendenzen und, insbesondere im Bank- und Kapitalanlagebereich, aus dem Ausfall von Kreditnehmern und sonstigen Schuldnern resultieren. Auch die Entwicklungen der Finanzmärkte (zum Beispiel Marktschwankungen und Kreditausfälle) und der Wechselkurse sowie nationale und internationale Gesetzesänderungen, insbesondere hinsichtlich steuerlicher Regelungen, können entsprechenden Einfluss haben. Terroranschläge und deren Folgen können die Wahrscheinlichkeit und das Ausmaß von Abweichungen erhöhen. &#10;Die hier dargestellten Sachverhalte können auch durch Risiken und Unsicherheiten beeinflusst werden, die in den jeweiligen Meldungen der Allianz SE an die US Securities and Exchange Commission beschrieben werden.&#10;Keine Pflicht zur Aktualisierung&#10;Die Gesellschaft übernimmt keine Verpflichtung, Zukunftsaussagen zu aktualisieren. Die Gesellschaft übernimmt ferner keine Verpflichtung, die in dieser Meldung enthaltenen Aussagen zu aktualisieren.&#10;"/>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2581910"/>
                    </a:xfrm>
                    <a:prstGeom prst="rect">
                      <a:avLst/>
                    </a:prstGeom>
                    <a:noFill/>
                  </pic:spPr>
                </pic:pic>
              </a:graphicData>
            </a:graphic>
          </wp:anchor>
        </w:drawing>
      </w:r>
    </w:p>
    <w:p w:rsidR="00F77B55" w:rsidRDefault="00F77B55"/>
    <w:sectPr w:rsidR="00F77B55" w:rsidSect="008A2E96">
      <w:headerReference w:type="default" r:id="rId20"/>
      <w:footerReference w:type="first" r:id="rId21"/>
      <w:pgSz w:w="11906" w:h="16838"/>
      <w:pgMar w:top="2269" w:right="1558"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6E48" w:rsidRDefault="00714103">
      <w:r>
        <w:separator/>
      </w:r>
    </w:p>
  </w:endnote>
  <w:endnote w:type="continuationSeparator" w:id="0">
    <w:p w:rsidR="00EB6E48" w:rsidRDefault="00714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7BA" w:rsidRPr="005E38A8" w:rsidRDefault="005A3963" w:rsidP="00AE7EED">
    <w:pPr>
      <w:tabs>
        <w:tab w:val="left" w:pos="7655"/>
      </w:tabs>
      <w:autoSpaceDE w:val="0"/>
      <w:autoSpaceDN w:val="0"/>
      <w:adjustRightInd w:val="0"/>
      <w:spacing w:line="360" w:lineRule="auto"/>
      <w:ind w:right="1332"/>
      <w:jc w:val="both"/>
      <w:rPr>
        <w:rFonts w:cs="Arial"/>
        <w:color w:val="000000"/>
        <w:sz w:val="20"/>
        <w:szCs w:val="20"/>
      </w:rPr>
    </w:pPr>
    <w:r>
      <w:rPr>
        <w:rFonts w:cs="Arial"/>
        <w:color w:val="000000"/>
        <w:sz w:val="24"/>
        <w:szCs w:val="22"/>
      </w:rPr>
      <w:t xml:space="preserve">* </w:t>
    </w:r>
    <w:r w:rsidRPr="005E38A8">
      <w:rPr>
        <w:rFonts w:cs="Arial"/>
        <w:color w:val="000000"/>
        <w:sz w:val="20"/>
        <w:szCs w:val="20"/>
      </w:rPr>
      <w:t xml:space="preserve">Mondial Assistance bietet unterschiedliche Pakete für Jahres-Reiseschutz an. Als Beispiel für alle </w:t>
    </w:r>
    <w:r>
      <w:rPr>
        <w:rFonts w:cs="Arial"/>
        <w:color w:val="000000"/>
        <w:sz w:val="20"/>
        <w:szCs w:val="20"/>
      </w:rPr>
      <w:t xml:space="preserve">genannten </w:t>
    </w:r>
    <w:r w:rsidRPr="005E38A8">
      <w:rPr>
        <w:rFonts w:cs="Arial"/>
        <w:color w:val="000000"/>
        <w:sz w:val="20"/>
        <w:szCs w:val="20"/>
      </w:rPr>
      <w:t xml:space="preserve">Berechnungen wird der </w:t>
    </w:r>
    <w:r w:rsidRPr="005E38A8">
      <w:rPr>
        <w:rFonts w:cs="Arial"/>
        <w:b/>
        <w:color w:val="000000"/>
        <w:sz w:val="20"/>
        <w:szCs w:val="20"/>
      </w:rPr>
      <w:t>ELVIA Reiserücktritt-Vollschutz</w:t>
    </w:r>
    <w:r w:rsidRPr="005E38A8">
      <w:rPr>
        <w:rFonts w:cs="Arial"/>
        <w:color w:val="000000"/>
        <w:sz w:val="20"/>
        <w:szCs w:val="20"/>
      </w:rPr>
      <w:t xml:space="preserve"> inklusive Reiserücktritt-, Reiseabbruch-Versicherung, Umbuchungsgebühren-Schutz und Reise-Assistance zug</w:t>
    </w:r>
    <w:r>
      <w:rPr>
        <w:rFonts w:cs="Arial"/>
        <w:color w:val="000000"/>
        <w:sz w:val="20"/>
        <w:szCs w:val="20"/>
      </w:rPr>
      <w:t>runde gelegt</w:t>
    </w:r>
    <w:r w:rsidRPr="005E38A8">
      <w:rPr>
        <w:rFonts w:cs="Arial"/>
        <w:color w:val="000000"/>
        <w:sz w:val="20"/>
        <w:szCs w:val="20"/>
      </w:rPr>
      <w:t>.</w:t>
    </w:r>
  </w:p>
  <w:p w:rsidR="00A657BA" w:rsidRPr="005E38A8" w:rsidRDefault="00FC4C8E">
    <w:pPr>
      <w:pStyle w:val="Fuzeile"/>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6E48" w:rsidRDefault="00714103">
      <w:r>
        <w:separator/>
      </w:r>
    </w:p>
  </w:footnote>
  <w:footnote w:type="continuationSeparator" w:id="0">
    <w:p w:rsidR="00EB6E48" w:rsidRDefault="007141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7BA" w:rsidRDefault="005A3963" w:rsidP="00AE7EED">
    <w:pPr>
      <w:tabs>
        <w:tab w:val="left" w:pos="7995"/>
      </w:tabs>
      <w:spacing w:line="360" w:lineRule="auto"/>
      <w:rPr>
        <w:rFonts w:cs="Arial"/>
        <w:b/>
        <w:bCs w:val="0"/>
        <w:sz w:val="24"/>
      </w:rPr>
    </w:pPr>
    <w:r>
      <w:rPr>
        <w:rFonts w:cs="Arial"/>
        <w:b/>
        <w:bCs w:val="0"/>
        <w:noProof/>
        <w:sz w:val="24"/>
      </w:rPr>
      <w:drawing>
        <wp:anchor distT="0" distB="0" distL="114300" distR="114300" simplePos="0" relativeHeight="251659264" behindDoc="1" locked="0" layoutInCell="1" allowOverlap="1" wp14:anchorId="4EA6E8B4" wp14:editId="743A147C">
          <wp:simplePos x="0" y="0"/>
          <wp:positionH relativeFrom="column">
            <wp:posOffset>4157345</wp:posOffset>
          </wp:positionH>
          <wp:positionV relativeFrom="paragraph">
            <wp:posOffset>87630</wp:posOffset>
          </wp:positionV>
          <wp:extent cx="1476375" cy="923925"/>
          <wp:effectExtent l="0" t="0" r="9525" b="9525"/>
          <wp:wrapTight wrapText="bothSides">
            <wp:wrapPolygon edited="0">
              <wp:start x="0" y="0"/>
              <wp:lineTo x="0" y="21377"/>
              <wp:lineTo x="21461" y="21377"/>
              <wp:lineTo x="21461" y="0"/>
              <wp:lineTo x="0" y="0"/>
            </wp:wrapPolygon>
          </wp:wrapTight>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923925"/>
                  </a:xfrm>
                  <a:prstGeom prst="rect">
                    <a:avLst/>
                  </a:prstGeom>
                  <a:noFill/>
                </pic:spPr>
              </pic:pic>
            </a:graphicData>
          </a:graphic>
          <wp14:sizeRelH relativeFrom="page">
            <wp14:pctWidth>0</wp14:pctWidth>
          </wp14:sizeRelH>
          <wp14:sizeRelV relativeFrom="page">
            <wp14:pctHeight>0</wp14:pctHeight>
          </wp14:sizeRelV>
        </wp:anchor>
      </w:drawing>
    </w:r>
  </w:p>
  <w:p w:rsidR="00650BE5" w:rsidRDefault="00FC4C8E" w:rsidP="00AE7EED">
    <w:pPr>
      <w:tabs>
        <w:tab w:val="left" w:pos="7995"/>
      </w:tabs>
      <w:spacing w:line="360" w:lineRule="auto"/>
      <w:rPr>
        <w:rFonts w:cs="Arial"/>
        <w:b/>
        <w:bCs w:val="0"/>
        <w:sz w:val="24"/>
      </w:rPr>
    </w:pPr>
  </w:p>
  <w:p w:rsidR="00650BE5" w:rsidRDefault="00FC4C8E" w:rsidP="00AE7EED">
    <w:pPr>
      <w:tabs>
        <w:tab w:val="left" w:pos="7995"/>
      </w:tabs>
      <w:spacing w:line="360" w:lineRule="auto"/>
      <w:rPr>
        <w:rFonts w:cs="Arial"/>
        <w:b/>
        <w:bCs w:val="0"/>
        <w:sz w:val="24"/>
      </w:rPr>
    </w:pPr>
  </w:p>
  <w:p w:rsidR="00650BE5" w:rsidRDefault="00FC4C8E" w:rsidP="00AE7EED">
    <w:pPr>
      <w:tabs>
        <w:tab w:val="left" w:pos="7995"/>
      </w:tabs>
      <w:spacing w:line="360" w:lineRule="auto"/>
      <w:rPr>
        <w:rFonts w:cs="Arial"/>
        <w:b/>
        <w:bCs w:val="0"/>
        <w:sz w:val="24"/>
      </w:rPr>
    </w:pPr>
  </w:p>
  <w:p w:rsidR="00A657BA" w:rsidRDefault="00FC4C8E" w:rsidP="00AE7EED">
    <w:pPr>
      <w:tabs>
        <w:tab w:val="left" w:pos="7995"/>
      </w:tabs>
      <w:spacing w:line="360" w:lineRule="auto"/>
      <w:rPr>
        <w:rFonts w:cs="Arial"/>
        <w:b/>
        <w:bCs w:val="0"/>
        <w:sz w:val="24"/>
      </w:rPr>
    </w:pPr>
  </w:p>
  <w:p w:rsidR="00A657BA" w:rsidRDefault="005A3963" w:rsidP="00AE7EED">
    <w:pPr>
      <w:tabs>
        <w:tab w:val="left" w:pos="7995"/>
      </w:tabs>
      <w:spacing w:line="360" w:lineRule="auto"/>
      <w:rPr>
        <w:rFonts w:cs="Arial"/>
        <w:b/>
        <w:bCs w:val="0"/>
        <w:sz w:val="24"/>
      </w:rPr>
    </w:pPr>
    <w:r>
      <w:rPr>
        <w:rFonts w:cs="Arial"/>
        <w:b/>
        <w:bCs w:val="0"/>
        <w:sz w:val="24"/>
      </w:rPr>
      <w:t>Presseinformation</w:t>
    </w:r>
  </w:p>
  <w:p w:rsidR="00A657BA" w:rsidRDefault="00FC4C8E">
    <w:pPr>
      <w:pStyle w:val="Kopfzeil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326A0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B667E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004E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7001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73C43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E3AD7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54CCD5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3259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64C0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C8AA7B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activeWritingStyle w:appName="MSWord" w:lang="de-DE" w:vendorID="64" w:dllVersion="131078" w:nlCheck="1" w:checkStyle="0"/>
  <w:activeWritingStyle w:appName="MSWord" w:lang="de-AT" w:vendorID="64" w:dllVersion="131078" w:nlCheck="1" w:checkStyle="1"/>
  <w:activeWritingStyle w:appName="MSWord" w:lang="it-IT"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963"/>
    <w:rsid w:val="00371EF9"/>
    <w:rsid w:val="004B5442"/>
    <w:rsid w:val="00534B4A"/>
    <w:rsid w:val="005A3963"/>
    <w:rsid w:val="005A59A4"/>
    <w:rsid w:val="00714103"/>
    <w:rsid w:val="008E3398"/>
    <w:rsid w:val="009E0C4A"/>
    <w:rsid w:val="00A22F7B"/>
    <w:rsid w:val="00D95CA0"/>
    <w:rsid w:val="00DA1BB9"/>
    <w:rsid w:val="00EB6E48"/>
    <w:rsid w:val="00F77B55"/>
    <w:rsid w:val="00FC4C8E"/>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2B918052-F9B3-4D78-9DA5-0F3F04994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A3963"/>
    <w:rPr>
      <w:rFonts w:ascii="Arial" w:hAnsi="Arial"/>
      <w:bCs/>
      <w:kern w:val="32"/>
      <w:sz w:val="21"/>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Pr>
      <w:color w:val="CC0000"/>
      <w:u w:val="single"/>
    </w:rPr>
  </w:style>
  <w:style w:type="paragraph" w:styleId="Textkrper">
    <w:name w:val="Body Text"/>
    <w:basedOn w:val="Standard"/>
    <w:link w:val="TextkrperZchn"/>
    <w:uiPriority w:val="99"/>
    <w:rsid w:val="005A3963"/>
    <w:pPr>
      <w:spacing w:line="360" w:lineRule="auto"/>
      <w:ind w:right="2053"/>
    </w:pPr>
    <w:rPr>
      <w:rFonts w:eastAsia="Cambria"/>
      <w:bCs w:val="0"/>
      <w:kern w:val="0"/>
      <w:sz w:val="20"/>
      <w:szCs w:val="20"/>
      <w:lang w:val="x-none" w:eastAsia="x-none"/>
    </w:rPr>
  </w:style>
  <w:style w:type="character" w:customStyle="1" w:styleId="TextkrperZchn">
    <w:name w:val="Textkörper Zchn"/>
    <w:basedOn w:val="Absatz-Standardschriftart"/>
    <w:link w:val="Textkrper"/>
    <w:uiPriority w:val="99"/>
    <w:rsid w:val="005A3963"/>
    <w:rPr>
      <w:rFonts w:ascii="Arial" w:eastAsia="Cambria" w:hAnsi="Arial"/>
      <w:lang w:val="x-none" w:eastAsia="x-none"/>
    </w:rPr>
  </w:style>
  <w:style w:type="paragraph" w:styleId="Fuzeile">
    <w:name w:val="footer"/>
    <w:basedOn w:val="Standard"/>
    <w:link w:val="FuzeileZchn"/>
    <w:uiPriority w:val="99"/>
    <w:rsid w:val="005A3963"/>
    <w:pPr>
      <w:tabs>
        <w:tab w:val="center" w:pos="4536"/>
        <w:tab w:val="right" w:pos="9072"/>
      </w:tabs>
    </w:pPr>
    <w:rPr>
      <w:rFonts w:eastAsia="Cambria"/>
      <w:bCs w:val="0"/>
      <w:kern w:val="0"/>
      <w:szCs w:val="20"/>
      <w:lang w:val="x-none"/>
    </w:rPr>
  </w:style>
  <w:style w:type="character" w:customStyle="1" w:styleId="FuzeileZchn">
    <w:name w:val="Fußzeile Zchn"/>
    <w:basedOn w:val="Absatz-Standardschriftart"/>
    <w:link w:val="Fuzeile"/>
    <w:uiPriority w:val="99"/>
    <w:rsid w:val="005A3963"/>
    <w:rPr>
      <w:rFonts w:ascii="Arial" w:eastAsia="Cambria" w:hAnsi="Arial"/>
      <w:sz w:val="21"/>
      <w:lang w:val="x-none"/>
    </w:rPr>
  </w:style>
  <w:style w:type="paragraph" w:styleId="Kopfzeile">
    <w:name w:val="header"/>
    <w:basedOn w:val="Standard"/>
    <w:link w:val="KopfzeileZchn"/>
    <w:uiPriority w:val="99"/>
    <w:rsid w:val="005A3963"/>
    <w:pPr>
      <w:tabs>
        <w:tab w:val="center" w:pos="4536"/>
        <w:tab w:val="right" w:pos="9072"/>
      </w:tabs>
    </w:pPr>
    <w:rPr>
      <w:rFonts w:eastAsia="Cambria"/>
      <w:bCs w:val="0"/>
      <w:kern w:val="0"/>
      <w:szCs w:val="20"/>
      <w:lang w:val="x-none"/>
    </w:rPr>
  </w:style>
  <w:style w:type="character" w:customStyle="1" w:styleId="KopfzeileZchn">
    <w:name w:val="Kopfzeile Zchn"/>
    <w:basedOn w:val="Absatz-Standardschriftart"/>
    <w:link w:val="Kopfzeile"/>
    <w:uiPriority w:val="99"/>
    <w:rsid w:val="005A3963"/>
    <w:rPr>
      <w:rFonts w:ascii="Arial" w:eastAsia="Cambria" w:hAnsi="Arial"/>
      <w:sz w:val="21"/>
      <w:lang w:val="x-none"/>
    </w:rPr>
  </w:style>
  <w:style w:type="paragraph" w:customStyle="1" w:styleId="xmsonormal">
    <w:name w:val="x_msonormal"/>
    <w:basedOn w:val="Standard"/>
    <w:rsid w:val="005A3963"/>
    <w:pPr>
      <w:spacing w:before="100" w:beforeAutospacing="1" w:after="100" w:afterAutospacing="1"/>
    </w:pPr>
    <w:rPr>
      <w:rFonts w:ascii="Times New Roman" w:eastAsiaTheme="minorHAnsi" w:hAnsi="Times New Roman"/>
      <w:bCs w:val="0"/>
      <w:kern w:val="0"/>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witter.com/AllianzAssistDE" TargetMode="External"/><Relationship Id="rId18" Type="http://schemas.openxmlformats.org/officeDocument/2006/relationships/image" Target="cid:image004.jpg@01D110A1.E07CA820"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facebook.com/AllianzAssistance" TargetMode="External"/><Relationship Id="rId12" Type="http://schemas.openxmlformats.org/officeDocument/2006/relationships/image" Target="cid:image002.png@01D110A1.E07CA820" TargetMode="Externa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hyperlink" Target="https://plus.google.com/104739805363315399489/posts"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cid:image003.png@01D110A1.E07CA820" TargetMode="External"/><Relationship Id="rId23" Type="http://schemas.openxmlformats.org/officeDocument/2006/relationships/theme" Target="theme/theme1.xml"/><Relationship Id="rId10" Type="http://schemas.openxmlformats.org/officeDocument/2006/relationships/hyperlink" Target="https://www.youtube.com/channel/UCOHIqQFH_Vw8O6dJhDYHdmQ" TargetMode="External"/><Relationship Id="rId19" Type="http://schemas.openxmlformats.org/officeDocument/2006/relationships/image" Target="media/image5.emf"/><Relationship Id="rId4" Type="http://schemas.openxmlformats.org/officeDocument/2006/relationships/webSettings" Target="webSettings.xml"/><Relationship Id="rId9" Type="http://schemas.openxmlformats.org/officeDocument/2006/relationships/image" Target="cid:image001.png@01D110A1.E07CA820" TargetMode="External"/><Relationship Id="rId14" Type="http://schemas.openxmlformats.org/officeDocument/2006/relationships/image" Target="media/image3.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426</Words>
  <Characters>2687</Characters>
  <Application>Microsoft Office Word</Application>
  <DocSecurity>4</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Allianz Global Assistance</Company>
  <LinksUpToDate>false</LinksUpToDate>
  <CharactersWithSpaces>3107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Schneider</dc:creator>
  <cp:keywords/>
  <dc:description/>
  <cp:lastModifiedBy>Andreas Schneider</cp:lastModifiedBy>
  <cp:revision>2</cp:revision>
  <cp:lastPrinted>2018-03-14T08:27:00Z</cp:lastPrinted>
  <dcterms:created xsi:type="dcterms:W3CDTF">2018-04-12T10:09:00Z</dcterms:created>
  <dcterms:modified xsi:type="dcterms:W3CDTF">2018-04-12T10:09:00Z</dcterms:modified>
</cp:coreProperties>
</file>